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r w:rsidRPr="00391CCF">
        <w:rPr>
          <w:rFonts w:ascii="Times New Roman" w:hAnsi="Times New Roman" w:cs="Times New Roman"/>
          <w:b/>
          <w:sz w:val="27"/>
          <w:szCs w:val="27"/>
        </w:rPr>
        <w:t>П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073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DF0736">
        <w:rPr>
          <w:rFonts w:ascii="Times New Roman" w:hAnsi="Times New Roman" w:cs="Times New Roman"/>
          <w:sz w:val="28"/>
          <w:szCs w:val="28"/>
        </w:rPr>
        <w:t>ноября</w:t>
      </w:r>
      <w:r w:rsidR="002652C0"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2652C0">
        <w:rPr>
          <w:rFonts w:ascii="Times New Roman" w:hAnsi="Times New Roman" w:cs="Times New Roman"/>
          <w:sz w:val="28"/>
          <w:szCs w:val="28"/>
        </w:rPr>
        <w:t xml:space="preserve">5 </w:t>
      </w:r>
      <w:r w:rsidRPr="00AC6F8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2C0">
        <w:rPr>
          <w:rFonts w:ascii="Times New Roman" w:hAnsi="Times New Roman" w:cs="Times New Roman"/>
          <w:sz w:val="28"/>
          <w:szCs w:val="28"/>
        </w:rPr>
        <w:t>№</w:t>
      </w:r>
      <w:r w:rsidR="00DF0736">
        <w:rPr>
          <w:rFonts w:ascii="Times New Roman" w:hAnsi="Times New Roman" w:cs="Times New Roman"/>
          <w:sz w:val="28"/>
          <w:szCs w:val="28"/>
        </w:rPr>
        <w:t>124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0E8" w:rsidRDefault="00DF0736" w:rsidP="00DF0736">
      <w:pPr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6">
        <w:rPr>
          <w:rFonts w:ascii="Times New Roman" w:hAnsi="Times New Roman" w:cs="Times New Roman"/>
          <w:bCs/>
          <w:sz w:val="28"/>
          <w:szCs w:val="28"/>
        </w:rPr>
        <w:t xml:space="preserve">Об определении видов и перечней особо ценного движимого имущества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t>автономных</w:t>
      </w:r>
      <w:r w:rsidRPr="00DF0736">
        <w:rPr>
          <w:rFonts w:ascii="Times New Roman" w:hAnsi="Times New Roman" w:cs="Times New Roman"/>
          <w:bCs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bCs/>
          <w:sz w:val="28"/>
          <w:szCs w:val="28"/>
        </w:rPr>
        <w:t>Сандогорского сельского поселения Костромского муниципального</w:t>
      </w:r>
      <w:r w:rsidRPr="00DF0736">
        <w:rPr>
          <w:rFonts w:ascii="Times New Roman" w:hAnsi="Times New Roman" w:cs="Times New Roman"/>
          <w:bCs/>
          <w:sz w:val="28"/>
          <w:szCs w:val="28"/>
        </w:rPr>
        <w:t xml:space="preserve"> района Костромской области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524A2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36" w:rsidRPr="00DF0736">
        <w:rPr>
          <w:rFonts w:ascii="Times New Roman" w:hAnsi="Times New Roman" w:cs="Times New Roman"/>
          <w:sz w:val="28"/>
          <w:szCs w:val="28"/>
        </w:rPr>
        <w:t>В целях совершенствования учета особо ценного движим</w:t>
      </w:r>
      <w:r w:rsidR="00C748AA">
        <w:rPr>
          <w:rFonts w:ascii="Times New Roman" w:hAnsi="Times New Roman" w:cs="Times New Roman"/>
          <w:sz w:val="28"/>
          <w:szCs w:val="28"/>
        </w:rPr>
        <w:t xml:space="preserve">ого имущества, </w:t>
      </w:r>
      <w:r w:rsidR="00DF0736" w:rsidRPr="00DF073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26.07.2010 г. № 538 «О порядке отнесения имущества автономного или бюджетного учреждения к категории особо ценного движимого имущества»,  постановлением администрации Костромской области от 30 декабря 2010 г. N 459-а "Об определении видов особо ценного движимого имущества автономных или бюджетных учреждений Костромской области"</w:t>
      </w:r>
      <w:r w:rsidR="00DF0736">
        <w:rPr>
          <w:rFonts w:ascii="Times New Roman" w:hAnsi="Times New Roman" w:cs="Times New Roman"/>
          <w:sz w:val="28"/>
          <w:szCs w:val="28"/>
        </w:rPr>
        <w:t xml:space="preserve">, </w:t>
      </w:r>
      <w:r w:rsidR="00DF0736" w:rsidRPr="00DF073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C843B1" w:rsidRPr="00CC0258" w:rsidRDefault="00C843B1" w:rsidP="00C843B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CC0258">
        <w:rPr>
          <w:rFonts w:ascii="Times New Roman" w:hAnsi="Times New Roman" w:cs="Times New Roman"/>
          <w:sz w:val="28"/>
          <w:szCs w:val="28"/>
        </w:rPr>
        <w:t xml:space="preserve"> </w:t>
      </w:r>
      <w:r w:rsidRPr="00CC0258">
        <w:rPr>
          <w:rFonts w:ascii="Times New Roman" w:hAnsi="Times New Roman" w:cs="Times New Roman"/>
          <w:sz w:val="28"/>
          <w:szCs w:val="28"/>
        </w:rPr>
        <w:t>Определить виды особо ценного движимого имущества муниципальных автономных учреждений Сандогорского сельского поселения Костромского муниципального района Костромской области (далее - Учреждения), согласно приложению № 1 к настоящему постановлению.</w:t>
      </w:r>
    </w:p>
    <w:p w:rsidR="00CC0258" w:rsidRDefault="00CC0258" w:rsidP="00C843B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025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258">
        <w:rPr>
          <w:rFonts w:ascii="Times New Roman" w:hAnsi="Times New Roman" w:cs="Times New Roman"/>
          <w:sz w:val="28"/>
          <w:szCs w:val="28"/>
        </w:rPr>
        <w:t>Утвердить Порядок утверждения и ведения перечней осо</w:t>
      </w:r>
      <w:r w:rsidR="007865BB">
        <w:rPr>
          <w:rFonts w:ascii="Times New Roman" w:hAnsi="Times New Roman" w:cs="Times New Roman"/>
          <w:sz w:val="28"/>
          <w:szCs w:val="28"/>
        </w:rPr>
        <w:t>бо ценного движимого имущества У</w:t>
      </w:r>
      <w:r w:rsidRPr="00CC0258">
        <w:rPr>
          <w:rFonts w:ascii="Times New Roman" w:hAnsi="Times New Roman" w:cs="Times New Roman"/>
          <w:sz w:val="28"/>
          <w:szCs w:val="28"/>
        </w:rPr>
        <w:t>чреждений, подведомственных администрации Сандогорского сельского поселения Костромского муниципального района Костромской области,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025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843B1" w:rsidRDefault="00262FC0" w:rsidP="00EF0A0E">
      <w:pPr>
        <w:spacing w:after="0" w:line="240" w:lineRule="auto"/>
        <w:ind w:firstLine="737"/>
        <w:jc w:val="both"/>
      </w:pPr>
      <w:r w:rsidRPr="007865BB">
        <w:rPr>
          <w:rFonts w:ascii="Times New Roman" w:hAnsi="Times New Roman" w:cs="Times New Roman"/>
          <w:sz w:val="28"/>
          <w:szCs w:val="28"/>
        </w:rPr>
        <w:t>3</w:t>
      </w:r>
      <w:r w:rsidR="00C843B1" w:rsidRPr="007865BB">
        <w:rPr>
          <w:rFonts w:ascii="Times New Roman" w:hAnsi="Times New Roman" w:cs="Times New Roman"/>
          <w:sz w:val="28"/>
          <w:szCs w:val="28"/>
        </w:rPr>
        <w:t xml:space="preserve">.  </w:t>
      </w:r>
      <w:r w:rsidR="00C843B1" w:rsidRPr="007865BB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согласования </w:t>
      </w:r>
      <w:r w:rsidR="007865BB" w:rsidRPr="007865B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Сандогорского сельского поселения </w:t>
      </w:r>
      <w:r w:rsidR="00C843B1" w:rsidRPr="007865BB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распоряжения особо ценным движимым имуществом, закрепленным на праве оперативного управления за </w:t>
      </w:r>
      <w:r w:rsidR="007865BB" w:rsidRPr="007865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843B1" w:rsidRPr="007865BB">
        <w:rPr>
          <w:rFonts w:ascii="Times New Roman" w:hAnsi="Times New Roman" w:cs="Times New Roman"/>
          <w:color w:val="000000"/>
          <w:sz w:val="28"/>
          <w:szCs w:val="28"/>
        </w:rPr>
        <w:t>чреждениями либо приобретенным Учреждениями за счет средств, выделенных его учредителем на приобретение такого имущества, согласно приложению № 3 к настоящему постановлению.</w:t>
      </w:r>
    </w:p>
    <w:p w:rsidR="00C843B1" w:rsidRPr="005B7C9E" w:rsidRDefault="00EF0A0E" w:rsidP="00EF0A0E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B7C9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843B1" w:rsidRPr="005B7C9E">
        <w:rPr>
          <w:rFonts w:ascii="Times New Roman" w:hAnsi="Times New Roman" w:cs="Times New Roman"/>
          <w:sz w:val="28"/>
          <w:szCs w:val="28"/>
        </w:rPr>
        <w:t>. Настоящее постановление вступ</w:t>
      </w:r>
      <w:r w:rsidR="00C748AA" w:rsidRPr="005B7C9E">
        <w:rPr>
          <w:rFonts w:ascii="Times New Roman" w:hAnsi="Times New Roman" w:cs="Times New Roman"/>
          <w:sz w:val="28"/>
          <w:szCs w:val="28"/>
        </w:rPr>
        <w:t>ает</w:t>
      </w:r>
      <w:r w:rsidR="00C843B1" w:rsidRPr="005B7C9E">
        <w:rPr>
          <w:rFonts w:ascii="Times New Roman" w:hAnsi="Times New Roman" w:cs="Times New Roman"/>
          <w:sz w:val="28"/>
          <w:szCs w:val="28"/>
        </w:rPr>
        <w:t xml:space="preserve"> в силу с момента его подписания.</w:t>
      </w:r>
    </w:p>
    <w:p w:rsidR="00C843B1" w:rsidRDefault="00EF0A0E" w:rsidP="00C843B1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B7C9E">
        <w:rPr>
          <w:rFonts w:ascii="Times New Roman" w:hAnsi="Times New Roman" w:cs="Times New Roman"/>
          <w:sz w:val="28"/>
          <w:szCs w:val="28"/>
        </w:rPr>
        <w:t>5</w:t>
      </w:r>
      <w:r w:rsidR="00C843B1" w:rsidRPr="005B7C9E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C748AA" w:rsidRPr="005B7C9E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C843B1" w:rsidRPr="005B7C9E">
        <w:rPr>
          <w:rFonts w:ascii="Times New Roman" w:hAnsi="Times New Roman" w:cs="Times New Roman"/>
          <w:sz w:val="28"/>
          <w:szCs w:val="28"/>
        </w:rPr>
        <w:t>опубликова</w:t>
      </w:r>
      <w:r w:rsidR="00C748AA" w:rsidRPr="005B7C9E">
        <w:rPr>
          <w:rFonts w:ascii="Times New Roman" w:hAnsi="Times New Roman" w:cs="Times New Roman"/>
          <w:sz w:val="28"/>
          <w:szCs w:val="28"/>
        </w:rPr>
        <w:t xml:space="preserve">нию </w:t>
      </w:r>
      <w:r w:rsidR="00C843B1" w:rsidRPr="005B7C9E">
        <w:rPr>
          <w:rFonts w:ascii="Times New Roman" w:hAnsi="Times New Roman" w:cs="Times New Roman"/>
          <w:sz w:val="28"/>
          <w:szCs w:val="28"/>
        </w:rPr>
        <w:t>в информационном бюллетене «Депутатский вестник» Сандогорского сельского поселения.</w:t>
      </w:r>
      <w:bookmarkStart w:id="0" w:name="_GoBack"/>
      <w:bookmarkEnd w:id="0"/>
    </w:p>
    <w:p w:rsidR="00C843B1" w:rsidRDefault="00C843B1" w:rsidP="00C843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3B1" w:rsidRDefault="00C843B1" w:rsidP="00C843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3B1" w:rsidRDefault="00C843B1" w:rsidP="00C843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3B1" w:rsidRPr="002524A2" w:rsidRDefault="00C843B1" w:rsidP="00C84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Сандогорского сельского поселения                           А.А. Нургазизов</w:t>
      </w:r>
    </w:p>
    <w:p w:rsidR="00C843B1" w:rsidRDefault="00C843B1" w:rsidP="00C843B1">
      <w:pPr>
        <w:ind w:firstLine="720"/>
        <w:jc w:val="both"/>
      </w:pPr>
    </w:p>
    <w:p w:rsidR="00C843B1" w:rsidRDefault="00C843B1" w:rsidP="00C8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0930" w:rsidRDefault="00B30930">
      <w:pPr>
        <w:spacing w:after="0" w:line="240" w:lineRule="auto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</w:rPr>
        <w:br w:type="page"/>
      </w:r>
    </w:p>
    <w:p w:rsidR="000A58D1" w:rsidRDefault="000A58D1" w:rsidP="000A58D1">
      <w:pPr>
        <w:pStyle w:val="ConsPlusNormal"/>
        <w:ind w:left="5529" w:firstLine="0"/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A58D1" w:rsidRDefault="000A58D1" w:rsidP="000A58D1">
      <w:pPr>
        <w:pStyle w:val="ConsPlusNormal"/>
        <w:ind w:left="5529" w:firstLine="0"/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748AA">
        <w:rPr>
          <w:rFonts w:ascii="Times New Roman" w:hAnsi="Times New Roman" w:cs="Times New Roman"/>
          <w:sz w:val="24"/>
          <w:szCs w:val="24"/>
        </w:rPr>
        <w:t>Сандогорского сельского поселения Костромского муниципального района Костромской области</w:t>
      </w:r>
    </w:p>
    <w:p w:rsidR="000A58D1" w:rsidRDefault="000A58D1" w:rsidP="000A58D1">
      <w:pPr>
        <w:pStyle w:val="ConsPlusNormal"/>
        <w:ind w:left="5529" w:firstLine="0"/>
      </w:pPr>
      <w:r>
        <w:rPr>
          <w:rFonts w:ascii="Times New Roman" w:hAnsi="Times New Roman" w:cs="Times New Roman"/>
          <w:sz w:val="24"/>
          <w:szCs w:val="24"/>
        </w:rPr>
        <w:t>от 14 ноября 2025 г. № 124</w:t>
      </w:r>
    </w:p>
    <w:p w:rsidR="000A58D1" w:rsidRDefault="000A58D1" w:rsidP="000A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8D1" w:rsidRDefault="000A58D1" w:rsidP="000A58D1">
      <w:pPr>
        <w:pStyle w:val="ConsPlusTitle"/>
        <w:jc w:val="center"/>
      </w:pPr>
      <w:bookmarkStart w:id="1" w:name="P35"/>
      <w:bookmarkEnd w:id="1"/>
      <w:r>
        <w:rPr>
          <w:rFonts w:ascii="Times New Roman" w:hAnsi="Times New Roman" w:cs="Times New Roman"/>
          <w:sz w:val="24"/>
          <w:szCs w:val="24"/>
        </w:rPr>
        <w:t>Виды</w:t>
      </w:r>
    </w:p>
    <w:p w:rsidR="000A58D1" w:rsidRDefault="000A58D1" w:rsidP="000A58D1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особо ценного движимого имущества муниципальных </w:t>
      </w:r>
      <w:r w:rsidRPr="00C748AA">
        <w:rPr>
          <w:rFonts w:ascii="Times New Roman" w:hAnsi="Times New Roman" w:cs="Times New Roman"/>
          <w:b/>
          <w:sz w:val="24"/>
          <w:szCs w:val="24"/>
        </w:rPr>
        <w:t>автономных учреждений Сандогорского сельского поселения Костромского муниципального района Костромской области</w:t>
      </w:r>
    </w:p>
    <w:p w:rsidR="000A58D1" w:rsidRDefault="000A58D1" w:rsidP="000A58D1">
      <w:pPr>
        <w:rPr>
          <w:rFonts w:ascii="Times New Roman" w:hAnsi="Times New Roman" w:cs="Times New Roman"/>
          <w:b/>
          <w:lang w:bidi="ru-RU"/>
        </w:rPr>
      </w:pP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Движимое имущество, балансовая стоимость которого превышает </w:t>
      </w:r>
      <w:r w:rsidRPr="00045C6D">
        <w:rPr>
          <w:rFonts w:ascii="Times New Roman" w:hAnsi="Times New Roman" w:cs="Times New Roman"/>
          <w:sz w:val="24"/>
          <w:szCs w:val="24"/>
          <w:u w:val="single"/>
        </w:rPr>
        <w:t>сто тысяч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 Иное движимое имущество (независимо от их стоимости), без которого осуществление Учреждениями предусмотренных их уставами основных видов деятельности будет существенно затруднено, в том числе: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а) легковые и грузовые автомобили, другие транспортные средства;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б) специальная техника (строительная, коммунальная);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в) техническое оборудование;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г) серверное оборудование;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д) программное обеспечение;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е) нематериальные активы, относящиеся к интеллектуальной собственности;</w:t>
      </w:r>
    </w:p>
    <w:p w:rsidR="000A58D1" w:rsidRPr="00065053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053">
        <w:rPr>
          <w:rFonts w:ascii="Times New Roman" w:hAnsi="Times New Roman"/>
          <w:sz w:val="24"/>
          <w:szCs w:val="24"/>
        </w:rPr>
        <w:t>компьютерное и телекоммуникационное оборудование, электронно-вычислительная техника, оргтехника и средства связи, информационные системы и программно-аппаратные комплексы, программно-технические комплексы, фотоаппаратура, аудиооборудование и видеооборудование</w:t>
      </w:r>
      <w:r w:rsidRPr="00065053">
        <w:rPr>
          <w:rFonts w:ascii="Times New Roman" w:hAnsi="Times New Roman" w:cs="Times New Roman"/>
          <w:sz w:val="24"/>
          <w:szCs w:val="24"/>
        </w:rPr>
        <w:t>;</w:t>
      </w:r>
    </w:p>
    <w:p w:rsidR="000A58D1" w:rsidRPr="00065053" w:rsidRDefault="000A58D1" w:rsidP="000A58D1">
      <w:pPr>
        <w:pStyle w:val="ConsPlusNormal"/>
        <w:ind w:firstLine="540"/>
        <w:jc w:val="both"/>
        <w:rPr>
          <w:sz w:val="24"/>
          <w:szCs w:val="24"/>
        </w:rPr>
      </w:pPr>
      <w:r w:rsidRPr="00065053">
        <w:rPr>
          <w:rFonts w:ascii="Times New Roman" w:hAnsi="Times New Roman" w:cs="Times New Roman"/>
          <w:sz w:val="24"/>
          <w:szCs w:val="24"/>
        </w:rPr>
        <w:t>з) оборудование, предназначенное для выполнения функций обеспечения безопасности (охранные системы, системы вентиляции и кондиционирования, системы пожаротушения, системы оповещения, системы дымоудаления, системы видеонаблюдения, системы связи и передачи данных (в том числе аппаратные комплексы указанных систем));</w:t>
      </w:r>
    </w:p>
    <w:p w:rsidR="000A58D1" w:rsidRPr="00065053" w:rsidRDefault="000A58D1" w:rsidP="000A58D1">
      <w:pPr>
        <w:ind w:firstLine="540"/>
        <w:jc w:val="both"/>
        <w:rPr>
          <w:sz w:val="24"/>
          <w:szCs w:val="24"/>
        </w:rPr>
      </w:pPr>
      <w:r w:rsidRPr="00065053">
        <w:rPr>
          <w:rFonts w:ascii="Times New Roman" w:hAnsi="Times New Roman" w:cs="Times New Roman"/>
          <w:sz w:val="24"/>
          <w:szCs w:val="24"/>
        </w:rPr>
        <w:t>и) средства контроля доступа в здания, строения, сооружения.</w:t>
      </w:r>
    </w:p>
    <w:p w:rsidR="000A58D1" w:rsidRDefault="000A58D1" w:rsidP="000A58D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в том числе музейные коллекции и предметы, находящиеся в федеральной собственности и включенные в состав государственной части Музейного фонда Российской Федерации, а также документы Архивного фонда Российской Федерации и национального библиотечного фонда.</w:t>
      </w:r>
    </w:p>
    <w:p w:rsidR="000A58D1" w:rsidRDefault="000A58D1" w:rsidP="000A58D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A58D1" w:rsidRDefault="000A58D1" w:rsidP="000A5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9B" w:rsidRDefault="0085029B">
      <w:pPr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ru-RU"/>
        </w:rPr>
      </w:pPr>
    </w:p>
    <w:p w:rsidR="00045C6D" w:rsidRDefault="00045C6D">
      <w:pPr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0930" w:rsidRDefault="00B30930" w:rsidP="00B30930">
      <w:pPr>
        <w:pStyle w:val="ConsPlusNormal"/>
        <w:ind w:left="5529" w:firstLine="0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A58D1">
        <w:rPr>
          <w:rFonts w:ascii="Times New Roman" w:hAnsi="Times New Roman" w:cs="Times New Roman"/>
          <w:sz w:val="24"/>
          <w:szCs w:val="24"/>
        </w:rPr>
        <w:t>2</w:t>
      </w:r>
    </w:p>
    <w:p w:rsidR="00C748AA" w:rsidRDefault="00B30930" w:rsidP="00B30930">
      <w:pPr>
        <w:pStyle w:val="ConsPlusNormal"/>
        <w:ind w:left="5529" w:firstLine="0"/>
        <w:rPr>
          <w:color w:val="44444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748AA">
        <w:rPr>
          <w:rFonts w:ascii="Times New Roman" w:hAnsi="Times New Roman" w:cs="Times New Roman"/>
          <w:sz w:val="24"/>
          <w:szCs w:val="24"/>
        </w:rPr>
        <w:t>Сандогорского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14 ноября 2025 г. № 124</w:t>
      </w:r>
    </w:p>
    <w:p w:rsidR="00C748AA" w:rsidRPr="007865BB" w:rsidRDefault="00C748AA" w:rsidP="00B30930">
      <w:pPr>
        <w:pStyle w:val="header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 w:rsidRPr="007865BB">
        <w:rPr>
          <w:b/>
          <w:bCs/>
        </w:rPr>
        <w:t>П</w:t>
      </w:r>
      <w:r w:rsidR="00B30930" w:rsidRPr="007865BB">
        <w:rPr>
          <w:b/>
          <w:bCs/>
        </w:rPr>
        <w:t xml:space="preserve">орядок утверждения </w:t>
      </w:r>
      <w:r w:rsidR="00B30930" w:rsidRPr="007865BB">
        <w:rPr>
          <w:b/>
        </w:rPr>
        <w:t>и ведения перечней особо ценного движимого имущества автономных учреждений, подведомственных администрации Сандогорского сельского поселения Костромского муниципального района Костромской области</w:t>
      </w:r>
    </w:p>
    <w:p w:rsidR="00C748AA" w:rsidRPr="007865BB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748AA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1. Настоящий Порядок утверждения и ведения перечней особо ценного движимого имущества </w:t>
      </w:r>
      <w:r w:rsidR="00B30930" w:rsidRPr="00045C6D">
        <w:t>автономных учреждений, подведомственных администрации Сандогорского сельского поселения Костромского муниципального района Костромской области</w:t>
      </w:r>
      <w:r w:rsidRPr="00045C6D">
        <w:t xml:space="preserve"> (далее - Порядок), разработан в целях совершенствования учета особо ценного движимого имущества </w:t>
      </w:r>
      <w:r w:rsidR="00B30930" w:rsidRPr="00045C6D">
        <w:t>муниципальных автономных</w:t>
      </w:r>
      <w:r w:rsidRPr="00045C6D">
        <w:t xml:space="preserve"> учреждений, находящихся в ведении </w:t>
      </w:r>
      <w:r w:rsidR="00B30930" w:rsidRPr="00045C6D">
        <w:t>администрации Сандогорского сельского поселения Костромского муниципального района Костромской области</w:t>
      </w:r>
      <w:r w:rsidRPr="00045C6D">
        <w:t xml:space="preserve"> (далее - Учреждения).</w:t>
      </w:r>
    </w:p>
    <w:p w:rsidR="00C748AA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2. Отнесение движимого имущества к соответствующим видам особо ценного движимого имущества Учреждений производится Учреждениями в соответствии с </w:t>
      </w:r>
      <w:r w:rsidR="00745CB8" w:rsidRPr="00045C6D">
        <w:t>Приложением №1 к настоящему Постановлению.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3. Перечни особо ценного движимого имущества Учреждений (далее - Перечни), внесение изменений в Перечни утверждаются соответствующим </w:t>
      </w:r>
      <w:r w:rsidR="00B30930" w:rsidRPr="00045C6D">
        <w:t>постановлением Администрации</w:t>
      </w:r>
      <w:r w:rsidRPr="00045C6D">
        <w:t>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3.1. С целью утверждения Перечней Учреждения представляют в </w:t>
      </w:r>
      <w:r w:rsidR="00B30930" w:rsidRPr="00045C6D">
        <w:t xml:space="preserve">Администрацию </w:t>
      </w:r>
      <w:r w:rsidRPr="00045C6D">
        <w:t>обращения, подписанные руководителями Учреждений (лицами, исполняющими их обязанности), и проекты Перечней по форме согласно приложению</w:t>
      </w:r>
      <w:r w:rsidR="00B30930" w:rsidRPr="00045C6D">
        <w:t xml:space="preserve"> №1</w:t>
      </w:r>
      <w:r w:rsidRPr="00045C6D">
        <w:t xml:space="preserve"> к настоящему Порядку.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3.2. </w:t>
      </w:r>
      <w:r w:rsidR="00B30930" w:rsidRPr="00045C6D">
        <w:t>Администрация</w:t>
      </w:r>
      <w:r w:rsidRPr="00045C6D">
        <w:t xml:space="preserve"> рассматривает указанные обращения, в течение 10 (десяти) календарных дней с даты регистрации в </w:t>
      </w:r>
      <w:r w:rsidR="00B30930" w:rsidRPr="00045C6D">
        <w:t>Администрации</w:t>
      </w:r>
      <w:r w:rsidRPr="00045C6D">
        <w:t xml:space="preserve"> обращения подготавливает проект п</w:t>
      </w:r>
      <w:r w:rsidR="00B30930" w:rsidRPr="00045C6D">
        <w:t>остановления</w:t>
      </w:r>
      <w:r w:rsidRPr="00045C6D">
        <w:t xml:space="preserve"> об утверждении Перечней и представляет его на подпись </w:t>
      </w:r>
      <w:r w:rsidR="00B30930" w:rsidRPr="00045C6D">
        <w:t>главе Администрации</w:t>
      </w:r>
      <w:r w:rsidRPr="00045C6D">
        <w:t xml:space="preserve"> (лицу, исполняющему его обязанности).</w:t>
      </w:r>
    </w:p>
    <w:p w:rsid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3.3. </w:t>
      </w:r>
      <w:r w:rsidR="00B30930" w:rsidRPr="00045C6D">
        <w:t>Администрация</w:t>
      </w:r>
      <w:r w:rsidRPr="00045C6D">
        <w:t xml:space="preserve"> в течение 3 (трех) рабочих дней с даты подписания </w:t>
      </w:r>
      <w:r w:rsidR="00B30930" w:rsidRPr="00045C6D">
        <w:t>Постановления</w:t>
      </w:r>
      <w:r w:rsidRPr="00045C6D">
        <w:t xml:space="preserve"> об утверждении Перечней направляет их заверенные в установленном порядке копии соответствующим Учреждениям либо направляет уведомление о необходимости уст</w:t>
      </w:r>
      <w:r w:rsidR="00045C6D">
        <w:t>ранения выявленных недостатков.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>4. При необходимости в ранее утвержденные Перечни вносятся изменения, связанные с выбытием или поступлением объектов особо ценного движимого имущества, а также с изменением сведений о ранее включенных в Перечни объектах особо ценного движимого имущества.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>5. Внесение изменений в Перечни осуществляется в соответствии с п</w:t>
      </w:r>
      <w:r w:rsidR="00B30930" w:rsidRPr="00045C6D">
        <w:t>остановлениями</w:t>
      </w:r>
      <w:r w:rsidRPr="00045C6D">
        <w:t xml:space="preserve"> </w:t>
      </w:r>
      <w:r w:rsidR="00B30930" w:rsidRPr="00045C6D">
        <w:t>Администрации</w:t>
      </w:r>
      <w:r w:rsidRPr="00045C6D">
        <w:t xml:space="preserve"> путем изложения Перечней в новой редакции.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 xml:space="preserve">5.1. С целью внесения изменений в Перечни Учреждения в случаях, указанных в пункте 4 настоящего Порядка, представляют в </w:t>
      </w:r>
      <w:r w:rsidR="00B30930" w:rsidRPr="00045C6D">
        <w:t>Администрацию</w:t>
      </w:r>
      <w:r w:rsidRPr="00045C6D">
        <w:t xml:space="preserve"> обращения, подписанные руководителями Учреждений (лицами, исполняющими их обязанности), и проекты Перечней по форме согласно приложению к настоящему Порядку.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>В обращениях Учреждений должны находиться материалы, поясняющие и обосновывающие необходимость внесения изменений в ранее определенные Перечни.</w:t>
      </w:r>
    </w:p>
    <w:p w:rsidR="00B30930" w:rsidRPr="00045C6D" w:rsidRDefault="00C748AA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C6D">
        <w:t>5.2. Рассмотрение и утверждение Перечней в новой редакции осуществляется в порядке, предусмотренном пунктами 3.2 и 3.3 настоящего Порядка.</w:t>
      </w:r>
    </w:p>
    <w:p w:rsidR="00045C6D" w:rsidRDefault="00F80DF2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6</w:t>
      </w:r>
      <w:r w:rsidR="00C748AA" w:rsidRPr="00045C6D">
        <w:t>. Ведение Перечней осуществляется Учреждениями на основании сведений бухгалтерского учета о полном наименовании объекта, отнесенного в установленном порядке к особо ценному движимому имуществу, его балансовой стоимости и инвентарном (учетном) номере (при его наличии).</w:t>
      </w:r>
      <w:r w:rsidR="00045C6D" w:rsidRPr="00045C6D">
        <w:t xml:space="preserve"> </w:t>
      </w:r>
    </w:p>
    <w:p w:rsidR="00C748AA" w:rsidRPr="00045C6D" w:rsidRDefault="00F80DF2" w:rsidP="00B309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7</w:t>
      </w:r>
      <w:r w:rsidR="00045C6D">
        <w:t xml:space="preserve">. </w:t>
      </w:r>
      <w:r w:rsidR="00045C6D" w:rsidRPr="00045C6D">
        <w:t>Ведение перечней особо ценного движимого имущества Учреждений осуществляется на бумажном носителе и в электронной форм</w:t>
      </w:r>
      <w:r w:rsidR="00045C6D" w:rsidRPr="008E6B12">
        <w:t>е.</w:t>
      </w:r>
    </w:p>
    <w:p w:rsidR="00FB17DC" w:rsidRDefault="00FB17DC">
      <w:pPr>
        <w:spacing w:after="0" w:line="240" w:lineRule="auto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br w:type="page"/>
      </w:r>
    </w:p>
    <w:p w:rsidR="00FB17DC" w:rsidRDefault="00FB17DC" w:rsidP="00FB17DC">
      <w:pPr>
        <w:shd w:val="clear" w:color="auto" w:fill="FFFFFF"/>
        <w:spacing w:after="240" w:line="240" w:lineRule="auto"/>
        <w:ind w:left="5529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B17DC">
        <w:rPr>
          <w:rFonts w:ascii="Times New Roman" w:hAnsi="Times New Roman" w:cs="Times New Roman"/>
          <w:bCs/>
          <w:sz w:val="24"/>
          <w:szCs w:val="24"/>
        </w:rPr>
        <w:t>Приложение №1</w:t>
      </w:r>
    </w:p>
    <w:p w:rsidR="00FB17DC" w:rsidRPr="00FB17DC" w:rsidRDefault="00FB17DC" w:rsidP="00FB17DC">
      <w:pPr>
        <w:shd w:val="clear" w:color="auto" w:fill="FFFFFF"/>
        <w:spacing w:after="240" w:line="240" w:lineRule="auto"/>
        <w:ind w:left="5529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B17DC">
        <w:rPr>
          <w:rFonts w:ascii="Times New Roman" w:hAnsi="Times New Roman" w:cs="Times New Roman"/>
          <w:bCs/>
          <w:sz w:val="24"/>
          <w:szCs w:val="24"/>
        </w:rPr>
        <w:t>к Порядку утверждения и ведения перечней особо ценного движимого имущества автономных учреждений, подведомственных администрации Сандогорского сельского поселения Костромского муниципального района Костромской области</w:t>
      </w:r>
    </w:p>
    <w:p w:rsidR="00FB17DC" w:rsidRPr="00FB17DC" w:rsidRDefault="00FB17DC" w:rsidP="00FB17DC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B17D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B17DC">
        <w:rPr>
          <w:rFonts w:ascii="Times New Roman" w:hAnsi="Times New Roman" w:cs="Times New Roman"/>
          <w:b/>
          <w:bCs/>
          <w:sz w:val="24"/>
          <w:szCs w:val="24"/>
        </w:rPr>
        <w:br/>
        <w:t>Перечень особо ценного движимого имущества, закрепленного за бюджетным учреждением</w:t>
      </w:r>
    </w:p>
    <w:p w:rsidR="00FB17DC" w:rsidRPr="00FB17DC" w:rsidRDefault="00FB17DC" w:rsidP="00FB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7D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B17DC" w:rsidRPr="00FB17DC" w:rsidRDefault="00FB17DC" w:rsidP="00FB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7DC">
        <w:rPr>
          <w:rFonts w:ascii="Times New Roman" w:hAnsi="Times New Roman" w:cs="Times New Roman"/>
          <w:sz w:val="24"/>
          <w:szCs w:val="24"/>
        </w:rPr>
        <w:t>(полное наименование учреждения)</w:t>
      </w:r>
    </w:p>
    <w:p w:rsidR="00FB17DC" w:rsidRPr="00FB17DC" w:rsidRDefault="00FB17DC" w:rsidP="00FB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7DC">
        <w:rPr>
          <w:rFonts w:ascii="Times New Roman" w:hAnsi="Times New Roman" w:cs="Times New Roman"/>
          <w:sz w:val="24"/>
          <w:szCs w:val="24"/>
        </w:rPr>
        <w:t>или приобретенного бюджетным учреждением за счет средств,</w:t>
      </w:r>
    </w:p>
    <w:p w:rsidR="00FB17DC" w:rsidRPr="00FB17DC" w:rsidRDefault="00FB17DC" w:rsidP="00FB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7DC">
        <w:rPr>
          <w:rFonts w:ascii="Times New Roman" w:hAnsi="Times New Roman" w:cs="Times New Roman"/>
          <w:sz w:val="24"/>
          <w:szCs w:val="24"/>
        </w:rPr>
        <w:t>выделенных ему учредителем на приобретение такого имущества</w:t>
      </w:r>
      <w:r w:rsidRPr="00FB17D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4780"/>
        <w:gridCol w:w="2030"/>
        <w:gridCol w:w="2028"/>
      </w:tblGrid>
      <w:tr w:rsidR="00FB17DC" w:rsidRPr="00FB17DC" w:rsidTr="00FB17D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объекта учета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Инвентарный (учетный) номер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(руб.)</w:t>
            </w:r>
          </w:p>
        </w:tc>
      </w:tr>
      <w:tr w:rsidR="00FB17DC" w:rsidRPr="00FB17DC" w:rsidTr="00FB17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1. Движимое имущество, балансовая стоимость которого превышает 100 тысяч рублей</w:t>
            </w: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DC" w:rsidRPr="00FB17DC" w:rsidTr="00FB17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8E6B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 xml:space="preserve">2. Движимое имущество независимо от его балансовой стоимости, без которого осуществление </w:t>
            </w:r>
            <w:r w:rsidR="008E6B12">
              <w:rPr>
                <w:rFonts w:ascii="Times New Roman" w:hAnsi="Times New Roman" w:cs="Times New Roman"/>
                <w:sz w:val="24"/>
                <w:szCs w:val="24"/>
              </w:rPr>
              <w:t>автономным</w:t>
            </w: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предусмотренных его уставом основных видов деятельности будет существенно затруднено</w:t>
            </w: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DC" w:rsidRPr="00FB17DC" w:rsidTr="00FB17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3. Движимое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 и Костромской области</w:t>
            </w: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DC" w:rsidRPr="00FB17DC" w:rsidTr="00FB17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7D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17DC" w:rsidRPr="00FB17DC" w:rsidRDefault="00FB17DC" w:rsidP="00FB1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br/>
      </w:r>
      <w:r w:rsidR="008E6B12">
        <w:rPr>
          <w:rFonts w:ascii="Times New Roman" w:hAnsi="Times New Roman" w:cs="Times New Roman"/>
          <w:spacing w:val="-18"/>
          <w:sz w:val="24"/>
          <w:szCs w:val="24"/>
        </w:rPr>
        <w:t>Руководитель</w:t>
      </w:r>
      <w:r w:rsidRPr="00FB17DC">
        <w:rPr>
          <w:rFonts w:ascii="Times New Roman" w:hAnsi="Times New Roman" w:cs="Times New Roman"/>
          <w:spacing w:val="-18"/>
          <w:sz w:val="24"/>
          <w:szCs w:val="24"/>
        </w:rPr>
        <w:t xml:space="preserve">         _______________ _________________________________________</w:t>
      </w:r>
    </w:p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t>                     (подпись)              (расшифровка подписи)</w:t>
      </w:r>
    </w:p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br/>
        <w:t>Главный бухгалтер _______________ _________________________________________</w:t>
      </w:r>
    </w:p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t>                     (подпись)              (расшифровка подписи)</w:t>
      </w:r>
    </w:p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br/>
        <w:t>М.П.</w:t>
      </w:r>
    </w:p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br/>
        <w:t>Исп. ______________________________________________________________________</w:t>
      </w:r>
    </w:p>
    <w:p w:rsidR="00FB17DC" w:rsidRPr="00FB17DC" w:rsidRDefault="00FB17DC" w:rsidP="00FB17DC">
      <w:pPr>
        <w:spacing w:after="0" w:line="240" w:lineRule="auto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FB17DC">
        <w:rPr>
          <w:rFonts w:ascii="Times New Roman" w:hAnsi="Times New Roman" w:cs="Times New Roman"/>
          <w:spacing w:val="-18"/>
          <w:sz w:val="24"/>
          <w:szCs w:val="24"/>
        </w:rPr>
        <w:t>                          (Ф.И.О. полностью и телефон)</w:t>
      </w:r>
    </w:p>
    <w:p w:rsidR="00C748AA" w:rsidRDefault="00C748AA">
      <w:pPr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ru-RU"/>
        </w:rPr>
      </w:pPr>
    </w:p>
    <w:p w:rsidR="00C843B1" w:rsidRDefault="00C843B1" w:rsidP="00C84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43B1" w:rsidRDefault="00C843B1" w:rsidP="00C84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43B1" w:rsidRDefault="00C843B1" w:rsidP="00C843B1">
      <w:pPr>
        <w:ind w:firstLine="720"/>
        <w:jc w:val="both"/>
        <w:rPr>
          <w:rFonts w:ascii="Times New Roman" w:hAnsi="Times New Roman" w:cs="Times New Roman"/>
        </w:rPr>
      </w:pPr>
    </w:p>
    <w:p w:rsidR="00C843B1" w:rsidRDefault="00C843B1" w:rsidP="00C843B1">
      <w:pPr>
        <w:pageBreakBefore/>
        <w:ind w:firstLine="720"/>
        <w:jc w:val="both"/>
        <w:rPr>
          <w:rFonts w:ascii="Times New Roman" w:hAnsi="Times New Roman" w:cs="Times New Roman"/>
        </w:rPr>
      </w:pPr>
    </w:p>
    <w:p w:rsidR="007865BB" w:rsidRDefault="007865BB" w:rsidP="007865BB">
      <w:pPr>
        <w:pStyle w:val="ConsPlusNormal"/>
        <w:ind w:left="5529" w:firstLine="0"/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865BB" w:rsidRDefault="007865BB" w:rsidP="007865BB">
      <w:pPr>
        <w:pStyle w:val="ConsPlusNormal"/>
        <w:ind w:left="5529" w:firstLine="0"/>
        <w:rPr>
          <w:color w:val="44444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748AA">
        <w:rPr>
          <w:rFonts w:ascii="Times New Roman" w:hAnsi="Times New Roman" w:cs="Times New Roman"/>
          <w:sz w:val="24"/>
          <w:szCs w:val="24"/>
        </w:rPr>
        <w:t>Сандогорского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14 ноября 2025 г. № 124</w:t>
      </w:r>
    </w:p>
    <w:p w:rsidR="00C843B1" w:rsidRPr="007865BB" w:rsidRDefault="007865BB" w:rsidP="007865BB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444444"/>
        </w:rPr>
        <w:br/>
      </w:r>
      <w:r w:rsidR="00C843B1" w:rsidRPr="00786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C843B1" w:rsidRPr="007865BB" w:rsidRDefault="007865BB" w:rsidP="00C843B1">
      <w:pPr>
        <w:jc w:val="center"/>
        <w:rPr>
          <w:sz w:val="24"/>
          <w:szCs w:val="24"/>
        </w:rPr>
      </w:pPr>
      <w:r w:rsidRPr="00786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согласования администрацией Сандогорского сельского поселения распоряжения особо ценным движимым имуществом, закрепленным на праве оперативного управления за Учреждениями либо приобретенным Учреждениями за счет средств, выделенных его учредителем на приобретение такого имущества</w:t>
      </w:r>
    </w:p>
    <w:p w:rsidR="00C843B1" w:rsidRDefault="00C843B1" w:rsidP="00C843B1">
      <w:pPr>
        <w:jc w:val="center"/>
        <w:rPr>
          <w:rFonts w:ascii="Times New Roman" w:hAnsi="Times New Roman" w:cs="Times New Roman"/>
          <w:b/>
          <w:bCs/>
        </w:rPr>
      </w:pP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1. Порядок согласования распространяется на виды особо ценного движимого имущества, определяемые в соответствии с п.1 постановления Правительства Российской Федерации от 26.07.2010 г. № 538 «О порядке отнесения имущества автономного или бюджетного учреждения к категории особо ценного движимого имущества».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2. Муниципальное </w:t>
      </w:r>
      <w:r w:rsidR="00ED7D8B">
        <w:rPr>
          <w:rFonts w:ascii="Times New Roman" w:hAnsi="Times New Roman"/>
          <w:sz w:val="24"/>
          <w:szCs w:val="24"/>
        </w:rPr>
        <w:t>автономное</w:t>
      </w:r>
      <w:r>
        <w:rPr>
          <w:rFonts w:ascii="Times New Roman" w:hAnsi="Times New Roman"/>
          <w:sz w:val="24"/>
          <w:szCs w:val="24"/>
        </w:rPr>
        <w:t xml:space="preserve"> учреждение </w:t>
      </w:r>
      <w:r w:rsidR="00ED7D8B" w:rsidRPr="00ED7D8B">
        <w:rPr>
          <w:rFonts w:ascii="Times New Roman" w:hAnsi="Times New Roman"/>
          <w:sz w:val="24"/>
          <w:szCs w:val="24"/>
        </w:rPr>
        <w:t>Сандогорского сельского поселения Костромского муниципального района Костромской области</w:t>
      </w:r>
      <w:r>
        <w:rPr>
          <w:rFonts w:ascii="Times New Roman" w:hAnsi="Times New Roman"/>
          <w:sz w:val="24"/>
          <w:szCs w:val="24"/>
        </w:rPr>
        <w:t xml:space="preserve"> (далее - Учреждение) без согласия администрации </w:t>
      </w:r>
      <w:r w:rsidR="00ED7D8B" w:rsidRPr="00ED7D8B">
        <w:rPr>
          <w:rFonts w:ascii="Times New Roman" w:hAnsi="Times New Roman"/>
          <w:sz w:val="24"/>
          <w:szCs w:val="24"/>
        </w:rPr>
        <w:t>Сандогорского сельского поселения Костромского муниципального района Костромской области</w:t>
      </w:r>
      <w:r>
        <w:rPr>
          <w:rFonts w:ascii="Times New Roman" w:hAnsi="Times New Roman"/>
          <w:sz w:val="24"/>
          <w:szCs w:val="24"/>
        </w:rPr>
        <w:t xml:space="preserve"> (далее - Администрация) не вправе распоряжаться особо ценным движимым имуществом, закрепленным за ним Администрацией либо приобретенным Учреждением за счет средств, выделенных ему учредителем на приобретение такого имущества.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 Руководитель Учреждения несет персональную ответственность за выполнение требований настоящего Порядка в соответствии с законодательством Российской Федерации.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4. Для согласования распоряжения особо ценным движимым имуществом Учреждение направляет в Администрацию на бумажном носителе следующие документы: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письмо, подписанное руководителем Учреждения (лицом, исполняющим его обязанности), содержащее: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обоснование и цель совершения сделки;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сведения о лице, с которым планируется заключить сделку (фирменное наименование, организационно-правовая форма, адрес юридического лица; фамилия, имя, отчество, данные документа, удостоверяющего личность, место жительства - для физического лица);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предмет и цену сделки в рублях (числом и прописью), включая налог на добавленную стоимость;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сроки исполнения обязательств, возникающих из сделки;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источники финансирования сделки;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иные существенные условия сделки;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проект предлагаемого к заключению договора со всеми приложениями к нему;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в) проект акта приема-передачи особо ценного движимого имущества, являющегося предметом сделки, с указанием наименования передаваемого объекта, остаточной стоимости и сумм начисленной амортизации, балансовой стоимости;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отчет об оценке рыночной стоимости особо ценного движимого имущества, являющегося предметом сделки, подготовленный в случаях, предусмотренных законодательством, регулирующим оценочную деятельность в Российской Федерации, произведенной не ранее чем за 3 (три) месяца до его представления в Администрацию.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5. Направляемые в Администрацию документы должны быть заверены подписью руководителя Учреждения.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6. Письмо Учреждения о согласовании распоряжения особо ценным движимым имуществом и прилагаемые к нему документы регистрируются в Администрации в течение одного рабочего дня с момента его поступления.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7. Срок рассмотрения и принятия решения по представляемым в Администрацию документам составляет 30 (тридцать) дней с даты их регистрации при условии представления Учреждением полного комплекта документов, необходимых для согласования распоряжения особо ценным движимым имуществом.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8. По результатам рассмотрения документов Администрацией принимается решение о согласовании либо об отказе в согласовании распоряжения особо ценным движимым имуществом.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9. Администрация принимает решение об отказе в согласовании письма Учреждения о распоряжении имуществом в случаях, если: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установлено несоответствие информации и документов, представленных Учреждением, требованиям законодательства Российской Федерации;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документы представлены не в полном объеме либо в представленном письме или прилагаемых к нему документах выявлены неполные, необоснованные или недостоверные сведения;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в) передача Учреждением имущества приведет к невозможности осуществления им деятельности, цели, предмет и виды которой определены уставом Учреждения, или существенно затруднит эту деятельность;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сделка по отчуждению имущества не обоснована потребностями Учреждения, не соответствует целям, предмету и видам его деятельности.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10. При вынесении решения об отказе в согласовании распоряжения особо ценным движимым имуществом Учреждение имеет право повторно обратиться в Администрацию после устранения выявленных нарушений с возобновлением сроков рассмотрения.</w:t>
      </w:r>
    </w:p>
    <w:p w:rsidR="00C843B1" w:rsidRDefault="00C843B1" w:rsidP="00C843B1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11. Решение о согласовании распоряжения Учреждением имущества (либо отказе в согласовании) оформляется письмом Администрации.</w:t>
      </w:r>
    </w:p>
    <w:p w:rsidR="00C843B1" w:rsidRDefault="00C843B1" w:rsidP="00C843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43B1" w:rsidSect="00C843B1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BD" w:rsidRDefault="004656BD" w:rsidP="002524A2">
      <w:pPr>
        <w:spacing w:after="0" w:line="240" w:lineRule="auto"/>
      </w:pPr>
      <w:r>
        <w:separator/>
      </w:r>
    </w:p>
  </w:endnote>
  <w:endnote w:type="continuationSeparator" w:id="0">
    <w:p w:rsidR="004656BD" w:rsidRDefault="004656BD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BD" w:rsidRDefault="004656BD" w:rsidP="002524A2">
      <w:pPr>
        <w:spacing w:after="0" w:line="240" w:lineRule="auto"/>
      </w:pPr>
      <w:r>
        <w:separator/>
      </w:r>
    </w:p>
  </w:footnote>
  <w:footnote w:type="continuationSeparator" w:id="0">
    <w:p w:rsidR="004656BD" w:rsidRDefault="004656BD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009FD"/>
    <w:multiLevelType w:val="hybridMultilevel"/>
    <w:tmpl w:val="D7FA08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AE1E73"/>
    <w:multiLevelType w:val="hybridMultilevel"/>
    <w:tmpl w:val="A20404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45C6D"/>
    <w:rsid w:val="000501E9"/>
    <w:rsid w:val="0006063D"/>
    <w:rsid w:val="000628ED"/>
    <w:rsid w:val="00065053"/>
    <w:rsid w:val="00066677"/>
    <w:rsid w:val="000702F8"/>
    <w:rsid w:val="00091FBC"/>
    <w:rsid w:val="0009261F"/>
    <w:rsid w:val="000A58D1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04871"/>
    <w:rsid w:val="002106DB"/>
    <w:rsid w:val="002144C1"/>
    <w:rsid w:val="0023055D"/>
    <w:rsid w:val="00243B01"/>
    <w:rsid w:val="00244D35"/>
    <w:rsid w:val="00245AD6"/>
    <w:rsid w:val="002524A2"/>
    <w:rsid w:val="00262FC0"/>
    <w:rsid w:val="002652C0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656BD"/>
    <w:rsid w:val="00470932"/>
    <w:rsid w:val="004805D5"/>
    <w:rsid w:val="004B40F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B7C9E"/>
    <w:rsid w:val="005D06C8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4099"/>
    <w:rsid w:val="006A7ECF"/>
    <w:rsid w:val="006B7479"/>
    <w:rsid w:val="006C1B43"/>
    <w:rsid w:val="006D25DB"/>
    <w:rsid w:val="006D2786"/>
    <w:rsid w:val="00701A09"/>
    <w:rsid w:val="00720CC7"/>
    <w:rsid w:val="007275E8"/>
    <w:rsid w:val="00733044"/>
    <w:rsid w:val="00744E98"/>
    <w:rsid w:val="00745CB8"/>
    <w:rsid w:val="0074619F"/>
    <w:rsid w:val="00754CD9"/>
    <w:rsid w:val="007604B2"/>
    <w:rsid w:val="0076309B"/>
    <w:rsid w:val="00764025"/>
    <w:rsid w:val="0076503E"/>
    <w:rsid w:val="00775A05"/>
    <w:rsid w:val="00782B7C"/>
    <w:rsid w:val="00782FA7"/>
    <w:rsid w:val="0078605F"/>
    <w:rsid w:val="007865BB"/>
    <w:rsid w:val="00793FF4"/>
    <w:rsid w:val="007A20F6"/>
    <w:rsid w:val="007C5A21"/>
    <w:rsid w:val="007D0DE9"/>
    <w:rsid w:val="007D3161"/>
    <w:rsid w:val="007F0332"/>
    <w:rsid w:val="007F6DBD"/>
    <w:rsid w:val="00830DC0"/>
    <w:rsid w:val="00840A7C"/>
    <w:rsid w:val="00847083"/>
    <w:rsid w:val="0085029B"/>
    <w:rsid w:val="00854D50"/>
    <w:rsid w:val="008712FE"/>
    <w:rsid w:val="00871B8A"/>
    <w:rsid w:val="00882468"/>
    <w:rsid w:val="008A5233"/>
    <w:rsid w:val="008C1686"/>
    <w:rsid w:val="008C64C1"/>
    <w:rsid w:val="008C7DA6"/>
    <w:rsid w:val="008E3BEC"/>
    <w:rsid w:val="008E6B12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145"/>
    <w:rsid w:val="009D69AF"/>
    <w:rsid w:val="009E6691"/>
    <w:rsid w:val="009E7ABF"/>
    <w:rsid w:val="009F609E"/>
    <w:rsid w:val="009F6424"/>
    <w:rsid w:val="00A031A7"/>
    <w:rsid w:val="00A10AFF"/>
    <w:rsid w:val="00A169C5"/>
    <w:rsid w:val="00A722B3"/>
    <w:rsid w:val="00A73AAC"/>
    <w:rsid w:val="00A81B5C"/>
    <w:rsid w:val="00AD1659"/>
    <w:rsid w:val="00AD5C76"/>
    <w:rsid w:val="00AE1406"/>
    <w:rsid w:val="00AE1CB9"/>
    <w:rsid w:val="00AF388A"/>
    <w:rsid w:val="00AF4794"/>
    <w:rsid w:val="00B1619D"/>
    <w:rsid w:val="00B176AB"/>
    <w:rsid w:val="00B30930"/>
    <w:rsid w:val="00B41691"/>
    <w:rsid w:val="00B57728"/>
    <w:rsid w:val="00B65534"/>
    <w:rsid w:val="00B7613D"/>
    <w:rsid w:val="00B7738F"/>
    <w:rsid w:val="00B83D4B"/>
    <w:rsid w:val="00B8412D"/>
    <w:rsid w:val="00B91B97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748AA"/>
    <w:rsid w:val="00C81B87"/>
    <w:rsid w:val="00C843B1"/>
    <w:rsid w:val="00C90E43"/>
    <w:rsid w:val="00CC0258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920F6"/>
    <w:rsid w:val="00DE20F9"/>
    <w:rsid w:val="00DF0736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D7D8B"/>
    <w:rsid w:val="00EE4396"/>
    <w:rsid w:val="00EE4C1A"/>
    <w:rsid w:val="00EE72EA"/>
    <w:rsid w:val="00EF0A0E"/>
    <w:rsid w:val="00F12872"/>
    <w:rsid w:val="00F26B9F"/>
    <w:rsid w:val="00F80DF2"/>
    <w:rsid w:val="00F966C6"/>
    <w:rsid w:val="00FA00BB"/>
    <w:rsid w:val="00FB17DC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next w:val="a"/>
    <w:rsid w:val="00C843B1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 w:bidi="ru-RU"/>
    </w:rPr>
  </w:style>
  <w:style w:type="paragraph" w:customStyle="1" w:styleId="ConsPlusTitle">
    <w:name w:val="ConsPlusTitle"/>
    <w:basedOn w:val="a"/>
    <w:next w:val="ConsPlusNormal"/>
    <w:rsid w:val="00C843B1"/>
    <w:pPr>
      <w:suppressAutoHyphens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zh-CN" w:bidi="hi-IN"/>
    </w:rPr>
  </w:style>
  <w:style w:type="paragraph" w:customStyle="1" w:styleId="ConsPlusNonformat">
    <w:name w:val="ConsPlusNonformat"/>
    <w:rsid w:val="00C843B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formattext">
    <w:name w:val="formattext"/>
    <w:basedOn w:val="a"/>
    <w:rsid w:val="00C74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74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74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next w:val="a"/>
    <w:rsid w:val="00C843B1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 w:bidi="ru-RU"/>
    </w:rPr>
  </w:style>
  <w:style w:type="paragraph" w:customStyle="1" w:styleId="ConsPlusTitle">
    <w:name w:val="ConsPlusTitle"/>
    <w:basedOn w:val="a"/>
    <w:next w:val="ConsPlusNormal"/>
    <w:rsid w:val="00C843B1"/>
    <w:pPr>
      <w:suppressAutoHyphens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zh-CN" w:bidi="hi-IN"/>
    </w:rPr>
  </w:style>
  <w:style w:type="paragraph" w:customStyle="1" w:styleId="ConsPlusNonformat">
    <w:name w:val="ConsPlusNonformat"/>
    <w:rsid w:val="00C843B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formattext">
    <w:name w:val="formattext"/>
    <w:basedOn w:val="a"/>
    <w:rsid w:val="00C74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74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74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Приложение №1</vt:lpstr>
      <vt:lpstr>        к Порядку утверждения и ведения перечней особо ценного движимого имущества автон</vt:lpstr>
    </vt:vector>
  </TitlesOfParts>
  <Company/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GLBUH</cp:lastModifiedBy>
  <cp:revision>26</cp:revision>
  <cp:lastPrinted>2022-03-28T06:19:00Z</cp:lastPrinted>
  <dcterms:created xsi:type="dcterms:W3CDTF">2024-07-18T07:31:00Z</dcterms:created>
  <dcterms:modified xsi:type="dcterms:W3CDTF">2025-11-19T10:43:00Z</dcterms:modified>
</cp:coreProperties>
</file>